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5" w:rsidRPr="00CB1C6C" w:rsidRDefault="008C7CC0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-1863725</wp:posOffset>
            </wp:positionV>
            <wp:extent cx="5668010" cy="8813800"/>
            <wp:effectExtent l="1600200" t="0" r="1570990" b="0"/>
            <wp:wrapThrough wrapText="bothSides">
              <wp:wrapPolygon edited="0">
                <wp:start x="31" y="21667"/>
                <wp:lineTo x="21520" y="21667"/>
                <wp:lineTo x="21520" y="5"/>
                <wp:lineTo x="31" y="5"/>
                <wp:lineTo x="31" y="21667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8010" cy="88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7CC0" w:rsidRDefault="008C7CC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E4492A" w:rsidRPr="00372CA9" w:rsidRDefault="00E4492A" w:rsidP="00E4492A">
      <w:pPr>
        <w:shd w:val="clear" w:color="auto" w:fill="FFFFFF"/>
        <w:spacing w:before="165" w:after="165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4492A" w:rsidRPr="00372CA9" w:rsidRDefault="00E4492A" w:rsidP="00696CA8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E4492A" w:rsidRPr="00372CA9" w:rsidRDefault="00E4492A" w:rsidP="00E44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D42268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55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8C7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C7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кавалера ордена Красной Звезды Георгия</w:t>
      </w:r>
      <w:proofErr w:type="gramEnd"/>
      <w:r w:rsidR="008C7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Калоева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  на основе Федерального государственного образовательного стандарта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профессии </w:t>
      </w:r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09.01.03</w:t>
      </w:r>
      <w:r w:rsidR="00BB2248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4492A" w:rsidRP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по обработке цифровой информации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365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№ 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29569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44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492A"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и на основе федерального государственного образовательного стандарта среднего  общего образования, реализуемого в пределах ОПОП с учетом профиля получаемого профессионального образования, а также:</w:t>
      </w:r>
      <w:proofErr w:type="gramEnd"/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696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BE5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="00BB2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Г Калоева</w:t>
      </w: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4492A" w:rsidRPr="005D25E5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D25E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E4492A" w:rsidRPr="00F76FF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b/>
        </w:rPr>
      </w:pPr>
      <w:proofErr w:type="spellStart"/>
      <w:r w:rsidRPr="00F76FF8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6FF8">
        <w:rPr>
          <w:rFonts w:ascii="Times New Roman" w:hAnsi="Times New Roman"/>
          <w:bCs/>
          <w:sz w:val="24"/>
          <w:szCs w:val="24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E4492A" w:rsidRPr="00696CA8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CA8">
        <w:rPr>
          <w:rStyle w:val="a7"/>
          <w:rFonts w:ascii="Times New Roman" w:hAnsi="Times New Roman"/>
          <w:b w:val="0"/>
          <w:sz w:val="24"/>
          <w:szCs w:val="24"/>
        </w:rPr>
        <w:t xml:space="preserve">Приказа </w:t>
      </w:r>
      <w:r w:rsidRPr="00696CA8">
        <w:rPr>
          <w:rFonts w:ascii="Times New Roman" w:hAnsi="Times New Roman"/>
          <w:bCs/>
          <w:color w:val="000000"/>
          <w:sz w:val="24"/>
          <w:szCs w:val="24"/>
        </w:rPr>
        <w:t>Министерства образования и науки Российской Федерации</w:t>
      </w:r>
      <w:r w:rsidRPr="00696CA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96CA8">
        <w:rPr>
          <w:rStyle w:val="a7"/>
          <w:rFonts w:ascii="Times New Roman" w:hAnsi="Times New Roman"/>
          <w:b w:val="0"/>
          <w:sz w:val="24"/>
          <w:szCs w:val="24"/>
        </w:rPr>
        <w:t>N 291 от 18 апреля 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BB2248" w:rsidRDefault="00BB2248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248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образования и науки РФ от 29 июня 2017г №613 "О внесении изменений в ФГОС СОО, 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РФ от 17 мая 2012г №413 .</w:t>
      </w:r>
    </w:p>
    <w:p w:rsidR="00976850" w:rsidRPr="00BB2248" w:rsidRDefault="00976850" w:rsidP="00BB224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DAE">
        <w:rPr>
          <w:rFonts w:ascii="Times New Roman" w:hAnsi="Times New Roman" w:cs="Times New Roman"/>
          <w:bCs/>
          <w:sz w:val="24"/>
          <w:szCs w:val="24"/>
        </w:rPr>
        <w:t xml:space="preserve">Письма департамента государственной политики в сфере подготовки рабочих кадров и ДПО </w:t>
      </w:r>
      <w:proofErr w:type="spellStart"/>
      <w:r w:rsidRPr="00004DA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04DAE">
        <w:rPr>
          <w:rFonts w:ascii="Times New Roman" w:hAnsi="Times New Roman" w:cs="Times New Roman"/>
          <w:bCs/>
          <w:sz w:val="24"/>
          <w:szCs w:val="24"/>
        </w:rPr>
        <w:t xml:space="preserve"> России от 17.03.2015г. № 06-259)</w:t>
      </w:r>
      <w:r w:rsidRPr="00976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2F22">
        <w:rPr>
          <w:rFonts w:ascii="Times New Roman" w:hAnsi="Times New Roman" w:cs="Times New Roman"/>
          <w:bCs/>
          <w:color w:val="000000"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E4492A" w:rsidRPr="00372CA9" w:rsidRDefault="00E4492A" w:rsidP="00E4492A">
      <w:pPr>
        <w:pStyle w:val="a6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976850" w:rsidRDefault="00976850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tabs>
          <w:tab w:val="left" w:pos="5745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4492A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учебного процесса и режим занятий</w:t>
      </w:r>
    </w:p>
    <w:p w:rsidR="00E4492A" w:rsidRPr="00372CA9" w:rsidRDefault="00E4492A" w:rsidP="00E4492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4492A" w:rsidRPr="00896E59" w:rsidRDefault="00E4492A" w:rsidP="00E4492A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 на промежуточную аттестацию.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E4492A" w:rsidRPr="00896E5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рассредоточено. 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E4492A" w:rsidRPr="00372CA9" w:rsidRDefault="00E4492A" w:rsidP="00E4492A">
      <w:pPr>
        <w:shd w:val="clear" w:color="auto" w:fill="FFFFFF"/>
        <w:spacing w:before="165" w:after="165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BB2248" w:rsidRPr="00BB2248" w:rsidRDefault="00BB2248" w:rsidP="00BB2248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BB224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 России от 17.03.2015г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 xml:space="preserve">. № 06-259)и в соответствии с </w:t>
      </w:r>
      <w:r w:rsidRPr="00BB2248">
        <w:rPr>
          <w:rFonts w:ascii="Times New Roman" w:hAnsi="Times New Roman" w:cs="Times New Roman"/>
          <w:bCs/>
          <w:sz w:val="24"/>
          <w:szCs w:val="24"/>
        </w:rPr>
        <w:lastRenderedPageBreak/>
        <w:t>уточнениями ФИР</w:t>
      </w:r>
      <w:proofErr w:type="gramStart"/>
      <w:r w:rsidRPr="00BB2248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BB2248">
        <w:rPr>
          <w:rFonts w:ascii="Times New Roman" w:hAnsi="Times New Roman" w:cs="Times New Roman"/>
          <w:bCs/>
          <w:sz w:val="24"/>
          <w:szCs w:val="24"/>
        </w:rPr>
        <w:t>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Общеобразовательный цикл составляют учебные дисциплины: </w:t>
      </w:r>
      <w:proofErr w:type="gramStart"/>
      <w:r w:rsidRPr="00BB2248">
        <w:t>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  <w:proofErr w:type="gramEnd"/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«Химия», «</w:t>
      </w:r>
      <w:r w:rsidR="00F2005C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СПО: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«Математика», «Физика», «Информатика»;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BB2248" w:rsidRPr="00BB2248" w:rsidRDefault="00BB2248" w:rsidP="00BB2248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</w:t>
      </w:r>
      <w:proofErr w:type="gramStart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gramEnd"/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B2248">
        <w:t>общепрофессионального</w:t>
      </w:r>
      <w:proofErr w:type="spellEnd"/>
      <w:r w:rsidRPr="00BB2248">
        <w:t xml:space="preserve"> цикла, а также отдельных дисциплин профессионального цикла ОПОП СПО (ППКРС).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</w:t>
      </w:r>
      <w:proofErr w:type="gramStart"/>
      <w:r w:rsidRPr="00BB2248">
        <w:t>обучающимися</w:t>
      </w:r>
      <w:proofErr w:type="gramEnd"/>
      <w:r w:rsidRPr="00BB2248">
        <w:t xml:space="preserve"> индивидуальных проектов. </w:t>
      </w:r>
      <w:proofErr w:type="gramStart"/>
      <w:r w:rsidRPr="00BB2248">
        <w:t>Индивидуальный проект</w:t>
      </w:r>
      <w:proofErr w:type="gramEnd"/>
      <w:r w:rsidRPr="00BB2248">
        <w:t xml:space="preserve"> проводится посредством консультаций из часов, выделенных на промежуточную аттестацию.</w:t>
      </w:r>
    </w:p>
    <w:p w:rsidR="00BB2248" w:rsidRPr="00BB2248" w:rsidRDefault="00BB2248" w:rsidP="00BB2248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BB2248" w:rsidRPr="00BB2248" w:rsidRDefault="00BB2248" w:rsidP="00BB2248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proofErr w:type="gramStart"/>
      <w:r w:rsidRPr="00BB2248">
        <w:t xml:space="preserve"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Pr="00BB2248">
        <w:t>нед</w:t>
      </w:r>
      <w:proofErr w:type="spellEnd"/>
      <w:r w:rsidRPr="00BB2248">
        <w:t xml:space="preserve">., промежуточная аттестация - 3 </w:t>
      </w:r>
      <w:proofErr w:type="spellStart"/>
      <w:r w:rsidRPr="00BB2248">
        <w:t>нед</w:t>
      </w:r>
      <w:proofErr w:type="spellEnd"/>
      <w:r w:rsidRPr="00BB2248">
        <w:t xml:space="preserve">., каникулярное время - 22 </w:t>
      </w:r>
      <w:proofErr w:type="spellStart"/>
      <w:r w:rsidRPr="00BB2248">
        <w:t>нед</w:t>
      </w:r>
      <w:proofErr w:type="spellEnd"/>
      <w:r w:rsidRPr="00BB2248">
        <w:t>.</w:t>
      </w:r>
      <w:proofErr w:type="gramEnd"/>
    </w:p>
    <w:p w:rsidR="00BB2248" w:rsidRPr="00BB2248" w:rsidRDefault="00BB2248" w:rsidP="00BB2248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E4492A" w:rsidRPr="00372CA9" w:rsidRDefault="00E4492A" w:rsidP="00BB2248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вариативной части ОПОП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proofErr w:type="spellStart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общепрофессиональные</w:t>
      </w:r>
      <w:proofErr w:type="spellEnd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- 125 ч. и профессиональные модули - 19ч.</w:t>
      </w:r>
    </w:p>
    <w:p w:rsidR="007D69E6" w:rsidRDefault="007D69E6" w:rsidP="00AF15C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92A" w:rsidRPr="00372CA9" w:rsidRDefault="00E4492A" w:rsidP="00AF15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E4492A" w:rsidRPr="00372CA9" w:rsidRDefault="00E4492A" w:rsidP="00E449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ГИА разрабатываются и утверждаются училищем после предварительного положительного заключения работодателей.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492A" w:rsidRPr="00372CA9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E4492A" w:rsidRPr="00C74B0D" w:rsidRDefault="00E4492A" w:rsidP="00E449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других помещений: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Pr="00C74B0D">
        <w:rPr>
          <w:rFonts w:ascii="Times New Roman" w:hAnsi="Times New Roman" w:cs="Times New Roman"/>
          <w:sz w:val="24"/>
          <w:szCs w:val="24"/>
        </w:rPr>
        <w:t>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0D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4492A" w:rsidRPr="00C74B0D" w:rsidRDefault="00E4492A" w:rsidP="00E44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B0D">
        <w:rPr>
          <w:rFonts w:ascii="Times New Roman" w:hAnsi="Times New Roman" w:cs="Times New Roman"/>
          <w:sz w:val="24"/>
          <w:szCs w:val="24"/>
        </w:rPr>
        <w:t xml:space="preserve">библиотека, читальный зал с выходом в сеть </w:t>
      </w:r>
      <w:proofErr w:type="spellStart"/>
      <w:r w:rsidRPr="00C74B0D"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C74B0D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C74B0D">
        <w:rPr>
          <w:rFonts w:ascii="Times New Roman" w:hAnsi="Times New Roman" w:cs="Times New Roman"/>
          <w:sz w:val="24"/>
          <w:szCs w:val="24"/>
        </w:rPr>
        <w:t>ктовый</w:t>
      </w:r>
      <w:proofErr w:type="spellEnd"/>
      <w:r w:rsidRPr="00C74B0D"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BB2248" w:rsidRDefault="00BB2248" w:rsidP="00E4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F48" w:rsidRDefault="00C16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4492A" w:rsidRPr="00372CA9" w:rsidRDefault="00E4492A" w:rsidP="00E4492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72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E4492A" w:rsidRPr="00372CA9" w:rsidRDefault="00E4492A" w:rsidP="00E4492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E4492A" w:rsidRPr="00372CA9" w:rsidTr="00E4492A">
        <w:trPr>
          <w:jc w:val="center"/>
        </w:trPr>
        <w:tc>
          <w:tcPr>
            <w:tcW w:w="1101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  <w:vMerge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E4492A" w:rsidRPr="00372CA9" w:rsidRDefault="00E4492A" w:rsidP="00E449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3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2B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E4492A" w:rsidRPr="00372CA9" w:rsidTr="00E4492A">
        <w:trPr>
          <w:jc w:val="center"/>
        </w:trPr>
        <w:tc>
          <w:tcPr>
            <w:tcW w:w="1101" w:type="dxa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E4492A" w:rsidRPr="00372CA9" w:rsidRDefault="00E4492A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E4492A" w:rsidRPr="00372CA9" w:rsidRDefault="00C52BE5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E4492A" w:rsidRPr="00406561" w:rsidRDefault="00E4492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E4492A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5541" w:type="pct"/>
        <w:jc w:val="center"/>
        <w:tblLayout w:type="fixed"/>
        <w:tblLook w:val="04A0"/>
      </w:tblPr>
      <w:tblGrid>
        <w:gridCol w:w="961"/>
        <w:gridCol w:w="2691"/>
        <w:gridCol w:w="852"/>
        <w:gridCol w:w="776"/>
        <w:gridCol w:w="324"/>
        <w:gridCol w:w="538"/>
        <w:gridCol w:w="241"/>
        <w:gridCol w:w="489"/>
        <w:gridCol w:w="674"/>
        <w:gridCol w:w="723"/>
        <w:gridCol w:w="7"/>
        <w:gridCol w:w="882"/>
        <w:gridCol w:w="30"/>
        <w:gridCol w:w="925"/>
        <w:gridCol w:w="730"/>
        <w:gridCol w:w="921"/>
        <w:gridCol w:w="26"/>
        <w:gridCol w:w="1139"/>
        <w:gridCol w:w="710"/>
        <w:gridCol w:w="23"/>
        <w:gridCol w:w="1166"/>
        <w:gridCol w:w="875"/>
        <w:gridCol w:w="26"/>
        <w:gridCol w:w="753"/>
        <w:gridCol w:w="20"/>
        <w:gridCol w:w="10"/>
      </w:tblGrid>
      <w:tr w:rsidR="00677DFD" w:rsidRPr="00406561" w:rsidTr="006F5B1C">
        <w:trPr>
          <w:gridAfter w:val="1"/>
          <w:wAfter w:w="3" w:type="pct"/>
          <w:trHeight w:val="560"/>
          <w:jc w:val="center"/>
        </w:trPr>
        <w:tc>
          <w:tcPr>
            <w:tcW w:w="291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815" w:type="pct"/>
            <w:vMerge w:val="restart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промежуточной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аттестации </w:t>
            </w:r>
          </w:p>
        </w:tc>
        <w:tc>
          <w:tcPr>
            <w:tcW w:w="1140" w:type="pct"/>
            <w:gridSpan w:val="7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2493" w:type="pct"/>
            <w:gridSpan w:val="15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(час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A95B2A" w:rsidRPr="00406561" w:rsidTr="006F5B1C">
        <w:trPr>
          <w:gridAfter w:val="1"/>
          <w:wAfter w:w="3" w:type="pct"/>
          <w:trHeight w:val="615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261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644" w:type="pct"/>
            <w:gridSpan w:val="4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779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54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60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677DFD" w:rsidRPr="00406561" w:rsidTr="006F5B1C">
        <w:trPr>
          <w:trHeight w:val="465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423" w:type="pct"/>
            <w:gridSpan w:val="2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78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0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1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35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3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37" w:type="pct"/>
            <w:gridSpan w:val="3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95B2A" w:rsidRPr="00406561" w:rsidTr="006F5B1C">
        <w:trPr>
          <w:trHeight w:val="690"/>
          <w:jc w:val="center"/>
        </w:trPr>
        <w:tc>
          <w:tcPr>
            <w:tcW w:w="29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219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78" w:type="pct"/>
            <w:gridSpan w:val="3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6F5B1C">
        <w:trPr>
          <w:trHeight w:val="819"/>
          <w:jc w:val="center"/>
        </w:trPr>
        <w:tc>
          <w:tcPr>
            <w:tcW w:w="291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" w:type="pct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06561" w:rsidRDefault="00632058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5B2A" w:rsidRPr="00406561" w:rsidTr="006F5B1C">
        <w:trPr>
          <w:trHeight w:val="315"/>
          <w:jc w:val="center"/>
        </w:trPr>
        <w:tc>
          <w:tcPr>
            <w:tcW w:w="291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" w:type="pct"/>
            <w:gridSpan w:val="2"/>
            <w:shd w:val="clear" w:color="auto" w:fill="FFFFFF" w:themeFill="background1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gridSpan w:val="3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F5B1C" w:rsidRPr="00406561" w:rsidTr="006F5B1C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15" w:type="pct"/>
            <w:vAlign w:val="center"/>
            <w:hideMark/>
          </w:tcPr>
          <w:p w:rsidR="000550B0" w:rsidRPr="00406561" w:rsidRDefault="000550B0" w:rsidP="00A059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258" w:type="pct"/>
            <w:vAlign w:val="center"/>
            <w:hideMark/>
          </w:tcPr>
          <w:p w:rsidR="000550B0" w:rsidRPr="001F7EF1" w:rsidRDefault="000550B0" w:rsidP="000010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0/12/</w:t>
            </w:r>
            <w:r w:rsidR="0000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" w:type="pct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0550B0" w:rsidRPr="009C3022" w:rsidRDefault="000550B0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0550B0" w:rsidRPr="00962D55" w:rsidRDefault="000550B0" w:rsidP="000550B0">
            <w:pPr>
              <w:ind w:left="-851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5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204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219" w:type="pct"/>
            <w:vAlign w:val="center"/>
            <w:hideMark/>
          </w:tcPr>
          <w:p w:rsidR="000550B0" w:rsidRPr="00305990" w:rsidRDefault="00305990" w:rsidP="00A059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80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79" w:type="pct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0550B0" w:rsidRPr="00FD072F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53" w:type="pct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0550B0" w:rsidRPr="001F7EF1" w:rsidRDefault="0046699F" w:rsidP="00A059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ОДБ.01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D87C6F" w:rsidRPr="00962D55" w:rsidRDefault="00D87C6F" w:rsidP="00D87C6F">
            <w:pPr>
              <w:ind w:left="-17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ОДБ.02</w:t>
            </w:r>
          </w:p>
        </w:tc>
        <w:tc>
          <w:tcPr>
            <w:tcW w:w="815" w:type="pct"/>
            <w:vAlign w:val="center"/>
            <w:hideMark/>
          </w:tcPr>
          <w:p w:rsidR="00D87C6F" w:rsidRPr="00AE4087" w:rsidRDefault="00D87C6F" w:rsidP="00D87C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vAlign w:val="center"/>
            <w:hideMark/>
          </w:tcPr>
          <w:p w:rsidR="00D87C6F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D87C6F" w:rsidRPr="009C3022" w:rsidRDefault="00D87C6F" w:rsidP="00D87C6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D87C6F" w:rsidRPr="00AE4087" w:rsidRDefault="00D87C6F" w:rsidP="00D87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19" w:type="pct"/>
            <w:vAlign w:val="center"/>
            <w:hideMark/>
          </w:tcPr>
          <w:p w:rsidR="00D87C6F" w:rsidRPr="00305990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79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53" w:type="pct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D87C6F" w:rsidRPr="0020459A" w:rsidRDefault="00D87C6F" w:rsidP="00D87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D87C6F" w:rsidRPr="005A1926" w:rsidRDefault="00D87C6F" w:rsidP="00D87C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ОДБ.03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ОДБ.04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ОДБ.05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ОДБ.06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A1926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A95B2A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ОДБ.07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0550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жизнедеят</w:t>
            </w:r>
            <w:proofErr w:type="spellEnd"/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0550B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055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40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517E59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4014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234539">
            <w:pPr>
              <w:ind w:left="-170"/>
              <w:jc w:val="center"/>
              <w:rPr>
                <w:rFonts w:ascii="Times New Roman" w:hAnsi="Times New Roman" w:cs="Times New Roman"/>
                <w:sz w:val="20"/>
              </w:rPr>
            </w:pPr>
            <w:r w:rsidRPr="00962D55">
              <w:rPr>
                <w:rFonts w:ascii="Times New Roman" w:hAnsi="Times New Roman" w:cs="Times New Roman"/>
                <w:sz w:val="20"/>
                <w:szCs w:val="18"/>
              </w:rPr>
              <w:t>ОДБ.08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23453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hideMark/>
          </w:tcPr>
          <w:p w:rsidR="006F5B1C" w:rsidRDefault="006F5B1C">
            <w:r w:rsidRPr="00527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2345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234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23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8D0B71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2345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ОДБ.09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ОДП.10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227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ОДП.11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79" w:type="pct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6F5B1C" w:rsidRPr="00952149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962D55" w:rsidRDefault="006F5B1C" w:rsidP="006F5B1C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D55">
              <w:rPr>
                <w:rFonts w:ascii="Times New Roman" w:hAnsi="Times New Roman" w:cs="Times New Roman"/>
                <w:sz w:val="18"/>
                <w:szCs w:val="18"/>
              </w:rPr>
              <w:t>ОДП.12</w:t>
            </w:r>
          </w:p>
        </w:tc>
        <w:tc>
          <w:tcPr>
            <w:tcW w:w="815" w:type="pct"/>
            <w:vAlign w:val="center"/>
            <w:hideMark/>
          </w:tcPr>
          <w:p w:rsidR="006F5B1C" w:rsidRPr="00AE4087" w:rsidRDefault="006F5B1C" w:rsidP="006F5B1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0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6F5B1C" w:rsidRPr="009C3022" w:rsidRDefault="006F5B1C" w:rsidP="006F5B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AE4087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4087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305990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15" w:type="pct"/>
            <w:vAlign w:val="center"/>
            <w:hideMark/>
          </w:tcPr>
          <w:p w:rsidR="006F5B1C" w:rsidRPr="00655C65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 </w:t>
            </w:r>
          </w:p>
        </w:tc>
        <w:tc>
          <w:tcPr>
            <w:tcW w:w="258" w:type="pct"/>
            <w:hideMark/>
          </w:tcPr>
          <w:p w:rsidR="006F5B1C" w:rsidRPr="0020459A" w:rsidRDefault="006F5B1C" w:rsidP="006F5B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20459A" w:rsidRDefault="000010E1" w:rsidP="006F5B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6699F" w:rsidRDefault="006F5B1C" w:rsidP="006F5B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99F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79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20459A" w:rsidRDefault="006F5B1C" w:rsidP="006F5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0010E1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и техника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«-,ДЗ»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6F5B1C" w:rsidRPr="00305990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EF7F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0/4/4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944AAD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0/7/2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620C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A85CA5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Ввод и обработка </w:t>
            </w:r>
            <w:r w:rsidRPr="00765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и обработки 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FD072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Хранение, передача и публикация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7A5DC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2B6EF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F1628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цифровой </w:t>
            </w:r>
            <w:proofErr w:type="spellStart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1F7E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D224BF" w:rsidP="006F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7675A7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D66DB3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6F5B1C" w:rsidRPr="00FB63E2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EC6E0A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04" w:type="pct"/>
            <w:vAlign w:val="center"/>
            <w:hideMark/>
          </w:tcPr>
          <w:p w:rsidR="006F5B1C" w:rsidRPr="008A47D8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0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9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D569C4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6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353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6F5B1C" w:rsidRPr="00406561" w:rsidTr="006F5B1C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1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258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3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shd w:val="clear" w:color="auto" w:fill="EEECE1" w:themeFill="background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3"/>
            <w:shd w:val="clear" w:color="auto" w:fill="EEECE1" w:themeFill="background2"/>
            <w:vAlign w:val="center"/>
            <w:hideMark/>
          </w:tcPr>
          <w:p w:rsidR="006F5B1C" w:rsidRPr="00556E79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56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6F5B1C" w:rsidRPr="005F55FE" w:rsidTr="006F5B1C">
        <w:trPr>
          <w:gridAfter w:val="2"/>
          <w:wAfter w:w="9" w:type="pct"/>
          <w:trHeight w:val="640"/>
          <w:jc w:val="center"/>
        </w:trPr>
        <w:tc>
          <w:tcPr>
            <w:tcW w:w="1697" w:type="pct"/>
            <w:gridSpan w:val="5"/>
            <w:vMerge w:val="restart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учебную </w:t>
            </w:r>
            <w:r w:rsidRPr="00D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группу по 100 часов в год (всего 250 час.)</w:t>
            </w:r>
          </w:p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</w:t>
            </w:r>
          </w:p>
        </w:tc>
      </w:tr>
      <w:tr w:rsidR="006F5B1C" w:rsidRPr="005F55FE" w:rsidTr="006F5B1C">
        <w:trPr>
          <w:gridAfter w:val="2"/>
          <w:wAfter w:w="9" w:type="pct"/>
          <w:trHeight w:val="51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267" w:type="pct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4D7B36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vAlign w:val="center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экзаменов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305990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дифференцированных зачетов </w:t>
            </w:r>
          </w:p>
        </w:tc>
        <w:tc>
          <w:tcPr>
            <w:tcW w:w="267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" w:type="pct"/>
            <w:vAlign w:val="center"/>
            <w:hideMark/>
          </w:tcPr>
          <w:p w:rsidR="006F5B1C" w:rsidRPr="00BF41AF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1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6F5B1C" w:rsidRPr="00BF41AF" w:rsidRDefault="00305990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</w:t>
            </w:r>
          </w:p>
        </w:tc>
      </w:tr>
      <w:tr w:rsidR="006F5B1C" w:rsidRPr="005F55FE" w:rsidTr="006F5B1C">
        <w:trPr>
          <w:gridAfter w:val="2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6F5B1C" w:rsidRPr="00406561" w:rsidRDefault="006F5B1C" w:rsidP="006F5B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vAlign w:val="center"/>
            <w:hideMark/>
          </w:tcPr>
          <w:p w:rsidR="006F5B1C" w:rsidRPr="001F7EF1" w:rsidRDefault="006F5B1C" w:rsidP="006F5B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зачетов </w:t>
            </w:r>
          </w:p>
        </w:tc>
        <w:tc>
          <w:tcPr>
            <w:tcW w:w="267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hideMark/>
          </w:tcPr>
          <w:p w:rsidR="006F5B1C" w:rsidRPr="001F7EF1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gridSpan w:val="2"/>
            <w:hideMark/>
          </w:tcPr>
          <w:p w:rsidR="006F5B1C" w:rsidRPr="005F55FE" w:rsidRDefault="006F5B1C" w:rsidP="006F5B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0FDA" w:rsidRPr="00360FDA" w:rsidRDefault="00360FDA" w:rsidP="00BB2248">
      <w:pPr>
        <w:pStyle w:val="a6"/>
        <w:shd w:val="clear" w:color="auto" w:fill="FFFFFF" w:themeFill="background1"/>
        <w:tabs>
          <w:tab w:val="left" w:pos="1507"/>
        </w:tabs>
        <w:ind w:left="1080"/>
        <w:rPr>
          <w:rFonts w:ascii="Times New Roman" w:hAnsi="Times New Roman" w:cs="Times New Roman"/>
          <w:sz w:val="20"/>
          <w:szCs w:val="20"/>
        </w:rPr>
      </w:pPr>
    </w:p>
    <w:sectPr w:rsidR="00360FDA" w:rsidRPr="00360FDA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7B5D67"/>
    <w:multiLevelType w:val="hybridMultilevel"/>
    <w:tmpl w:val="446C2EF6"/>
    <w:lvl w:ilvl="0" w:tplc="E2903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C0DFC"/>
    <w:multiLevelType w:val="hybridMultilevel"/>
    <w:tmpl w:val="ECB20BC6"/>
    <w:lvl w:ilvl="0" w:tplc="D966B7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372A0"/>
    <w:multiLevelType w:val="hybridMultilevel"/>
    <w:tmpl w:val="0F52F898"/>
    <w:lvl w:ilvl="0" w:tplc="9A5C6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010E1"/>
    <w:rsid w:val="00004DAE"/>
    <w:rsid w:val="0000600D"/>
    <w:rsid w:val="00014250"/>
    <w:rsid w:val="000550B0"/>
    <w:rsid w:val="0008538A"/>
    <w:rsid w:val="000B3829"/>
    <w:rsid w:val="000B407B"/>
    <w:rsid w:val="000C586A"/>
    <w:rsid w:val="000D0184"/>
    <w:rsid w:val="000E4B70"/>
    <w:rsid w:val="000E6A71"/>
    <w:rsid w:val="000E7959"/>
    <w:rsid w:val="000F23E3"/>
    <w:rsid w:val="001016A6"/>
    <w:rsid w:val="00105C62"/>
    <w:rsid w:val="0011133C"/>
    <w:rsid w:val="00120263"/>
    <w:rsid w:val="00152AD7"/>
    <w:rsid w:val="00172869"/>
    <w:rsid w:val="001742A5"/>
    <w:rsid w:val="00186A03"/>
    <w:rsid w:val="001A1793"/>
    <w:rsid w:val="001A440D"/>
    <w:rsid w:val="001D68E0"/>
    <w:rsid w:val="001E4C80"/>
    <w:rsid w:val="0020442B"/>
    <w:rsid w:val="0020459A"/>
    <w:rsid w:val="00217221"/>
    <w:rsid w:val="00234539"/>
    <w:rsid w:val="00247023"/>
    <w:rsid w:val="00264CAE"/>
    <w:rsid w:val="002810CB"/>
    <w:rsid w:val="00291FA9"/>
    <w:rsid w:val="002B049B"/>
    <w:rsid w:val="002B6EF4"/>
    <w:rsid w:val="002C11EC"/>
    <w:rsid w:val="002E617D"/>
    <w:rsid w:val="002F011B"/>
    <w:rsid w:val="00305990"/>
    <w:rsid w:val="00337382"/>
    <w:rsid w:val="00346B57"/>
    <w:rsid w:val="00360FDA"/>
    <w:rsid w:val="0038282D"/>
    <w:rsid w:val="003B0060"/>
    <w:rsid w:val="003B1FA5"/>
    <w:rsid w:val="003C28B9"/>
    <w:rsid w:val="003E0639"/>
    <w:rsid w:val="00401439"/>
    <w:rsid w:val="00406561"/>
    <w:rsid w:val="00407CDE"/>
    <w:rsid w:val="00414C03"/>
    <w:rsid w:val="0041794D"/>
    <w:rsid w:val="00462699"/>
    <w:rsid w:val="0046699F"/>
    <w:rsid w:val="00477394"/>
    <w:rsid w:val="004918CE"/>
    <w:rsid w:val="00492AD4"/>
    <w:rsid w:val="00492FC6"/>
    <w:rsid w:val="004A15AC"/>
    <w:rsid w:val="004B57BA"/>
    <w:rsid w:val="004B6604"/>
    <w:rsid w:val="004D02E9"/>
    <w:rsid w:val="004F5A02"/>
    <w:rsid w:val="004F5DD1"/>
    <w:rsid w:val="004F7714"/>
    <w:rsid w:val="00503977"/>
    <w:rsid w:val="0051317B"/>
    <w:rsid w:val="00514C75"/>
    <w:rsid w:val="005175F3"/>
    <w:rsid w:val="00536045"/>
    <w:rsid w:val="00541F66"/>
    <w:rsid w:val="00544A7F"/>
    <w:rsid w:val="005459B4"/>
    <w:rsid w:val="005503BA"/>
    <w:rsid w:val="00554B60"/>
    <w:rsid w:val="00556E79"/>
    <w:rsid w:val="0057099F"/>
    <w:rsid w:val="00581EDF"/>
    <w:rsid w:val="00594756"/>
    <w:rsid w:val="005A15E2"/>
    <w:rsid w:val="005A2A6A"/>
    <w:rsid w:val="005A40F5"/>
    <w:rsid w:val="005B2C25"/>
    <w:rsid w:val="005C0745"/>
    <w:rsid w:val="005D0259"/>
    <w:rsid w:val="0060458C"/>
    <w:rsid w:val="00611C4F"/>
    <w:rsid w:val="00621C75"/>
    <w:rsid w:val="006275FA"/>
    <w:rsid w:val="00632058"/>
    <w:rsid w:val="006557E3"/>
    <w:rsid w:val="00655C65"/>
    <w:rsid w:val="00657BEF"/>
    <w:rsid w:val="0066045B"/>
    <w:rsid w:val="006658DD"/>
    <w:rsid w:val="00665FC1"/>
    <w:rsid w:val="00677DFD"/>
    <w:rsid w:val="00685D7A"/>
    <w:rsid w:val="00693265"/>
    <w:rsid w:val="00696CA8"/>
    <w:rsid w:val="006A5206"/>
    <w:rsid w:val="006C1CD4"/>
    <w:rsid w:val="006C47A6"/>
    <w:rsid w:val="006C750F"/>
    <w:rsid w:val="006D2394"/>
    <w:rsid w:val="006F11B1"/>
    <w:rsid w:val="006F5B1C"/>
    <w:rsid w:val="00750143"/>
    <w:rsid w:val="00761AA6"/>
    <w:rsid w:val="00781E8C"/>
    <w:rsid w:val="00783386"/>
    <w:rsid w:val="00787DAE"/>
    <w:rsid w:val="007A1CB9"/>
    <w:rsid w:val="007A222C"/>
    <w:rsid w:val="007B4908"/>
    <w:rsid w:val="007C3FA6"/>
    <w:rsid w:val="007C6A4C"/>
    <w:rsid w:val="007D69E6"/>
    <w:rsid w:val="007E3FD4"/>
    <w:rsid w:val="007E63AB"/>
    <w:rsid w:val="00806D10"/>
    <w:rsid w:val="008072F0"/>
    <w:rsid w:val="00810EEE"/>
    <w:rsid w:val="00847CD1"/>
    <w:rsid w:val="00863E02"/>
    <w:rsid w:val="00865216"/>
    <w:rsid w:val="008A47D8"/>
    <w:rsid w:val="008C7CC0"/>
    <w:rsid w:val="00927DBB"/>
    <w:rsid w:val="00957DF7"/>
    <w:rsid w:val="0096176A"/>
    <w:rsid w:val="00976850"/>
    <w:rsid w:val="00992FD8"/>
    <w:rsid w:val="0099641E"/>
    <w:rsid w:val="009B5363"/>
    <w:rsid w:val="009D0C81"/>
    <w:rsid w:val="009D3CE4"/>
    <w:rsid w:val="00A059B1"/>
    <w:rsid w:val="00A23FEF"/>
    <w:rsid w:val="00A24A47"/>
    <w:rsid w:val="00A27114"/>
    <w:rsid w:val="00A52107"/>
    <w:rsid w:val="00A95B2A"/>
    <w:rsid w:val="00AA01F7"/>
    <w:rsid w:val="00AA517E"/>
    <w:rsid w:val="00AF15C5"/>
    <w:rsid w:val="00AF2C9C"/>
    <w:rsid w:val="00AF533B"/>
    <w:rsid w:val="00B00862"/>
    <w:rsid w:val="00B25CA9"/>
    <w:rsid w:val="00B570A8"/>
    <w:rsid w:val="00B80A0C"/>
    <w:rsid w:val="00B95AF6"/>
    <w:rsid w:val="00B97300"/>
    <w:rsid w:val="00BA453E"/>
    <w:rsid w:val="00BB2248"/>
    <w:rsid w:val="00BE52CF"/>
    <w:rsid w:val="00BE7FCD"/>
    <w:rsid w:val="00BF41AF"/>
    <w:rsid w:val="00BF4A31"/>
    <w:rsid w:val="00C02176"/>
    <w:rsid w:val="00C11FC1"/>
    <w:rsid w:val="00C16F48"/>
    <w:rsid w:val="00C4243A"/>
    <w:rsid w:val="00C5234F"/>
    <w:rsid w:val="00C52BE5"/>
    <w:rsid w:val="00C5308F"/>
    <w:rsid w:val="00C56587"/>
    <w:rsid w:val="00C64199"/>
    <w:rsid w:val="00C8008D"/>
    <w:rsid w:val="00C91BF8"/>
    <w:rsid w:val="00CA4062"/>
    <w:rsid w:val="00CB1C6C"/>
    <w:rsid w:val="00CC1213"/>
    <w:rsid w:val="00CC6AD5"/>
    <w:rsid w:val="00CE302D"/>
    <w:rsid w:val="00D11331"/>
    <w:rsid w:val="00D1531B"/>
    <w:rsid w:val="00D203B8"/>
    <w:rsid w:val="00D224BF"/>
    <w:rsid w:val="00D22525"/>
    <w:rsid w:val="00D22807"/>
    <w:rsid w:val="00D266C3"/>
    <w:rsid w:val="00D34C65"/>
    <w:rsid w:val="00D42268"/>
    <w:rsid w:val="00D622DD"/>
    <w:rsid w:val="00D66DB3"/>
    <w:rsid w:val="00D860BE"/>
    <w:rsid w:val="00D87C6F"/>
    <w:rsid w:val="00D95EC3"/>
    <w:rsid w:val="00DB4B93"/>
    <w:rsid w:val="00DC6859"/>
    <w:rsid w:val="00DD2BAB"/>
    <w:rsid w:val="00DD4362"/>
    <w:rsid w:val="00DE52F5"/>
    <w:rsid w:val="00DF7D50"/>
    <w:rsid w:val="00E021C7"/>
    <w:rsid w:val="00E252D6"/>
    <w:rsid w:val="00E4492A"/>
    <w:rsid w:val="00E46E0B"/>
    <w:rsid w:val="00E6334F"/>
    <w:rsid w:val="00E66D83"/>
    <w:rsid w:val="00E853B9"/>
    <w:rsid w:val="00E91D01"/>
    <w:rsid w:val="00E96CF8"/>
    <w:rsid w:val="00EA2BAA"/>
    <w:rsid w:val="00EB1DA5"/>
    <w:rsid w:val="00EC25FF"/>
    <w:rsid w:val="00EC263C"/>
    <w:rsid w:val="00EC6E0A"/>
    <w:rsid w:val="00ED3061"/>
    <w:rsid w:val="00ED31CE"/>
    <w:rsid w:val="00EE3980"/>
    <w:rsid w:val="00EF0668"/>
    <w:rsid w:val="00EF29F4"/>
    <w:rsid w:val="00F16284"/>
    <w:rsid w:val="00F2005C"/>
    <w:rsid w:val="00F20888"/>
    <w:rsid w:val="00F45A18"/>
    <w:rsid w:val="00F52341"/>
    <w:rsid w:val="00F668D7"/>
    <w:rsid w:val="00F755F7"/>
    <w:rsid w:val="00FB5F5E"/>
    <w:rsid w:val="00FB63E2"/>
    <w:rsid w:val="00FC3B7E"/>
    <w:rsid w:val="00FF0C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360FDA"/>
    <w:pPr>
      <w:ind w:left="720"/>
      <w:contextualSpacing/>
    </w:pPr>
  </w:style>
  <w:style w:type="character" w:styleId="a7">
    <w:name w:val="Strong"/>
    <w:basedOn w:val="a0"/>
    <w:qFormat/>
    <w:rsid w:val="00E4492A"/>
    <w:rPr>
      <w:b/>
      <w:bCs/>
    </w:rPr>
  </w:style>
  <w:style w:type="paragraph" w:styleId="a8">
    <w:name w:val="Body Text"/>
    <w:basedOn w:val="a"/>
    <w:link w:val="a9"/>
    <w:rsid w:val="00BB224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B224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BB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BB2248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nformat">
    <w:name w:val="ConsPlusNonformat"/>
    <w:uiPriority w:val="99"/>
    <w:rsid w:val="00976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FF49-C2E9-4557-9E8F-C5DFD5B8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38</cp:revision>
  <cp:lastPrinted>2019-11-28T10:21:00Z</cp:lastPrinted>
  <dcterms:created xsi:type="dcterms:W3CDTF">2016-06-09T10:35:00Z</dcterms:created>
  <dcterms:modified xsi:type="dcterms:W3CDTF">2019-12-27T06:50:00Z</dcterms:modified>
</cp:coreProperties>
</file>